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0" w:rsidRDefault="00031E68" w:rsidP="00B862BF">
      <w:pPr>
        <w:ind w:left="-900" w:right="-81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3.85pt;margin-top:38.1pt;width:186.35pt;height:33.4pt;z-index:251662336;mso-width-percent:400;mso-height-percent:200;mso-width-percent:400;mso-height-percent:200;mso-width-relative:margin;mso-height-relative:margin" stroked="f">
            <v:fill opacity="0"/>
            <v:textbox style="mso-fit-shape-to-text:t">
              <w:txbxContent>
                <w:p w:rsidR="00FB1C8D" w:rsidRPr="00FB1C8D" w:rsidRDefault="00FB1C8D" w:rsidP="00FB1C8D">
                  <w:pPr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From Mrs. Smith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88.95pt;margin-top:105.3pt;width:338.2pt;height:396.9pt;z-index:251660288;mso-width-relative:margin;mso-height-relative:margin" stroked="f">
            <v:fill opacity="0"/>
            <v:textbox style="mso-next-textbox:#_x0000_s1026">
              <w:txbxContent>
                <w:p w:rsidR="00B862BF" w:rsidRDefault="00B862BF" w:rsidP="00B862B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3141" cy="1178703"/>
                        <wp:effectExtent l="19050" t="0" r="0" b="0"/>
                        <wp:docPr id="11" name="Picture 11" descr="C:\Users\ksmith\AppData\Local\Microsoft\Windows\Temporary Internet Files\Content.IE5\C46WZG9M\Keep_Calm_and_Do_History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ksmith\AppData\Local\Microsoft\Windows\Temporary Internet Files\Content.IE5\C46WZG9M\Keep_Calm_and_Do_History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278" cy="1181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2BF" w:rsidRPr="00B862BF" w:rsidRDefault="00B862BF" w:rsidP="00B862BF">
                  <w:pPr>
                    <w:rPr>
                      <w:rFonts w:ascii="Albertus MT" w:hAnsi="Albertus MT"/>
                      <w:sz w:val="20"/>
                      <w:szCs w:val="20"/>
                    </w:rPr>
                  </w:pP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Welcome!  I am SO excited about our 6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, 7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and 8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grade classes!  I have been working hard to bring you more fun and educational activities in Social Studies!  In 6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grade we will begin the year as archeologists – exploring history by digging it up! In 7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grade we</w:t>
                  </w:r>
                  <w:r w:rsidR="008C492D">
                    <w:rPr>
                      <w:rFonts w:ascii="Albertus MT" w:hAnsi="Albertus MT"/>
                      <w:sz w:val="20"/>
                      <w:szCs w:val="20"/>
                    </w:rPr>
                    <w:t xml:space="preserve"> will begin with the Age of Exploration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and progress through the antebellum period.  In 8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grade we review the antebellum period and study through, at least, World War I.  </w:t>
                  </w:r>
                </w:p>
                <w:p w:rsidR="00B862BF" w:rsidRPr="00B862BF" w:rsidRDefault="00B862BF" w:rsidP="00B862BF">
                  <w:pPr>
                    <w:rPr>
                      <w:rFonts w:ascii="Albertus MT" w:hAnsi="Albertus MT"/>
                      <w:sz w:val="20"/>
                      <w:szCs w:val="20"/>
                    </w:rPr>
                  </w:pP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Class grading and expectation sheets were distributed to students during move-up day and are also linked to my we</w:t>
                  </w:r>
                  <w:r w:rsidR="008C492D">
                    <w:rPr>
                      <w:rFonts w:ascii="Albertus MT" w:hAnsi="Albertus MT"/>
                      <w:sz w:val="20"/>
                      <w:szCs w:val="20"/>
                    </w:rPr>
                    <w:t>bpage.  The classroom supply will be linked</w:t>
                  </w:r>
                  <w:r>
                    <w:rPr>
                      <w:rFonts w:ascii="Albertus MT" w:hAnsi="Albertus MT"/>
                      <w:sz w:val="20"/>
                      <w:szCs w:val="20"/>
                    </w:rPr>
                    <w:t xml:space="preserve"> to my web page. </w:t>
                  </w:r>
                </w:p>
                <w:p w:rsidR="00B862BF" w:rsidRPr="008C492D" w:rsidRDefault="00B862BF" w:rsidP="00B862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All of my 6</w:t>
                  </w:r>
                  <w:proofErr w:type="gramStart"/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,7,8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  <w:vertAlign w:val="superscript"/>
                    </w:rPr>
                    <w:t>th</w:t>
                  </w:r>
                  <w:proofErr w:type="gramEnd"/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grade students:  I would like to encourage you to sign up for the archery club this year.  Mrs. </w:t>
                  </w:r>
                  <w:proofErr w:type="spellStart"/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Hausler</w:t>
                  </w:r>
                  <w:proofErr w:type="spellEnd"/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 and I spent time becoming nationally certified with National Archery in the Schools and spend our time after school two days each week. Last year </w:t>
                  </w:r>
                  <w:r w:rsidR="008C492D">
                    <w:rPr>
                      <w:rFonts w:ascii="Albertus MT" w:hAnsi="Albertus MT"/>
                      <w:sz w:val="20"/>
                      <w:szCs w:val="20"/>
                    </w:rPr>
                    <w:t xml:space="preserve">we met in the fall and spring, 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it was so much </w:t>
                  </w:r>
                  <w:proofErr w:type="gramStart"/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>fun</w:t>
                  </w:r>
                  <w:r w:rsidR="008C492D">
                    <w:rPr>
                      <w:rFonts w:ascii="Albertus MT" w:hAnsi="Albertus MT"/>
                      <w:sz w:val="20"/>
                      <w:szCs w:val="20"/>
                    </w:rPr>
                    <w:t>,</w:t>
                  </w:r>
                  <w:proofErr w:type="gramEnd"/>
                  <w:r w:rsidR="008C492D" w:rsidRPr="008C492D">
                    <w:rPr>
                      <w:rFonts w:ascii="Times New Roman" w:hAnsi="Times New Roman" w:cs="Times New Roman"/>
                    </w:rPr>
                    <w:t xml:space="preserve"> we have great ideas </w:t>
                  </w:r>
                  <w:r w:rsidR="008C492D">
                    <w:rPr>
                      <w:rFonts w:ascii="Times New Roman" w:hAnsi="Times New Roman" w:cs="Times New Roman"/>
                    </w:rPr>
                    <w:t>for games and activities</w:t>
                  </w:r>
                  <w:r w:rsidRPr="00B862BF">
                    <w:rPr>
                      <w:rFonts w:ascii="Albertus MT" w:hAnsi="Albertus MT"/>
                      <w:sz w:val="20"/>
                      <w:szCs w:val="20"/>
                    </w:rPr>
                    <w:t xml:space="preserve">! </w:t>
                  </w:r>
                  <w:r w:rsidRPr="008C4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 own our own equipment</w:t>
                  </w:r>
                  <w:r w:rsidRPr="008C492D">
                    <w:rPr>
                      <w:rFonts w:ascii="Times New Roman" w:hAnsi="Times New Roman" w:cs="Times New Roman"/>
                    </w:rPr>
                    <w:t>, thanks to th</w:t>
                  </w:r>
                  <w:r w:rsidR="008C492D" w:rsidRPr="008C492D">
                    <w:rPr>
                      <w:rFonts w:ascii="Times New Roman" w:hAnsi="Times New Roman" w:cs="Times New Roman"/>
                    </w:rPr>
                    <w:t>e support of the parents and the HSA</w:t>
                  </w:r>
                  <w:r w:rsidRPr="008C492D">
                    <w:rPr>
                      <w:rFonts w:ascii="Times New Roman" w:hAnsi="Times New Roman" w:cs="Times New Roman"/>
                    </w:rPr>
                    <w:t>. I would love to see as many students as possible get involved</w:t>
                  </w:r>
                  <w:r w:rsidR="008C492D" w:rsidRPr="008C492D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B862B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6689090" cy="8359775"/>
            <wp:effectExtent l="19050" t="0" r="0" b="0"/>
            <wp:wrapNone/>
            <wp:docPr id="7" name="Picture 7" descr="C:\Users\ksmith\AppData\Local\Microsoft\Windows\Temporary Internet Files\Content.IE5\C46WZG9M\Gerald-G-Parchment-Background-or-Border-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mith\AppData\Local\Microsoft\Windows\Temporary Internet Files\Content.IE5\C46WZG9M\Gerald-G-Parchment-Background-or-Border-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835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4AA0" w:rsidSect="004D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862BF"/>
    <w:rsid w:val="00031E68"/>
    <w:rsid w:val="00145D28"/>
    <w:rsid w:val="004D4AA0"/>
    <w:rsid w:val="008C492D"/>
    <w:rsid w:val="00B862BF"/>
    <w:rsid w:val="00FB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ksmith</cp:lastModifiedBy>
  <cp:revision>2</cp:revision>
  <dcterms:created xsi:type="dcterms:W3CDTF">2018-06-15T21:20:00Z</dcterms:created>
  <dcterms:modified xsi:type="dcterms:W3CDTF">2018-06-15T21:20:00Z</dcterms:modified>
</cp:coreProperties>
</file>